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FD21">
      <w:pPr>
        <w:rPr>
          <w:rFonts w:ascii="Calibri" w:hAnsi="Calibri"/>
          <w:lang w:val="en-US"/>
        </w:rPr>
      </w:pPr>
    </w:p>
    <w:p w14:paraId="63081489">
      <w:pPr>
        <w:jc w:val="both"/>
      </w:pPr>
      <w:r>
        <w:rPr>
          <w:lang w:val="sr-Cyrl-RS"/>
        </w:rPr>
        <w:tab/>
      </w:r>
      <w:r>
        <w:rPr>
          <w:rFonts w:eastAsia="SimSun"/>
          <w:color w:val="1F1A17"/>
          <w:lang w:bidi="ar"/>
        </w:rPr>
        <w:t xml:space="preserve"> </w:t>
      </w:r>
    </w:p>
    <w:p w14:paraId="14BE618B">
      <w:pPr>
        <w:spacing w:line="210" w:lineRule="atLeast"/>
        <w:rPr>
          <w:rFonts w:eastAsia="Verdana"/>
        </w:rPr>
      </w:pPr>
      <w:r>
        <w:rPr>
          <w:rFonts w:eastAsia="Verdana"/>
        </w:rPr>
        <w:t xml:space="preserve">На основу члана 19. став 2. Уредбе о буџетском рачуноводству („Службени гласник РСˮ, бр. 125/03, 12/06, 27/20 и 3/25), а у вези са чланом 75а став 3. тачка 6) Закона о буџетском систему („Службени гласник РС”, бр. 54/09, 73/10, 101/10, 101/11, 93/12, 62/13, 63/13 – исправка, 108/13, 142/14, 68/15 – др. закон, 103/15, 99/16, 113/17, 95/18, 31/19, 72/19, 149/20, 118/21, 118/21 – др. закон, 138/22, 92/23 и 94/24), на предлог Комисије за праћење применe Међународних рачуноводствених стандарда за јавни сектор, </w:t>
      </w:r>
    </w:p>
    <w:p w14:paraId="583DB997">
      <w:pPr>
        <w:spacing w:line="210" w:lineRule="atLeast"/>
      </w:pPr>
    </w:p>
    <w:p w14:paraId="4A4003BA">
      <w:pPr>
        <w:spacing w:line="360" w:lineRule="auto"/>
        <w:jc w:val="center"/>
      </w:pPr>
      <w:r>
        <w:rPr>
          <w:rFonts w:eastAsia="Verdana"/>
          <w:b/>
        </w:rPr>
        <w:t>ПРАВИЛНИК</w:t>
      </w:r>
    </w:p>
    <w:p w14:paraId="7971454C">
      <w:pPr>
        <w:spacing w:line="360" w:lineRule="auto"/>
        <w:jc w:val="center"/>
        <w:rPr>
          <w:rFonts w:eastAsia="Verdana"/>
          <w:b/>
        </w:rPr>
      </w:pPr>
      <w:r>
        <w:rPr>
          <w:rFonts w:eastAsia="Verdana"/>
          <w:b/>
        </w:rPr>
        <w:t>о програму стручног оспособљавања за вођење пословних књига, састављање и презентацију финансијских извештаја у складу са Међународним рачуноводственим стандардoм за јавни сектор на готовинској основи</w:t>
      </w:r>
    </w:p>
    <w:p w14:paraId="22B435E3">
      <w:pPr>
        <w:spacing w:line="360" w:lineRule="auto"/>
        <w:jc w:val="center"/>
      </w:pPr>
    </w:p>
    <w:p w14:paraId="61AE896F">
      <w:pPr>
        <w:spacing w:line="210" w:lineRule="atLeast"/>
        <w:jc w:val="center"/>
      </w:pPr>
      <w:r>
        <w:rPr>
          <w:rFonts w:eastAsia="Verdana"/>
        </w:rPr>
        <w:t>Члан 1.</w:t>
      </w:r>
    </w:p>
    <w:p w14:paraId="3CA61495">
      <w:pPr>
        <w:spacing w:line="210" w:lineRule="atLeast"/>
        <w:rPr>
          <w:rFonts w:eastAsia="Verdana"/>
        </w:rPr>
      </w:pPr>
      <w:r>
        <w:rPr>
          <w:rFonts w:eastAsia="Verdana"/>
        </w:rPr>
        <w:t xml:space="preserve">Овим правилником прописују се услови за оспособљавање стручних лица у смислу уредбе којом се уређује буџетско рачуноводство, за вођење пословних књига, припрему, подношење и објављивање финансијских извештаја у складу са Међународним рачуноводственим стандардом за јавни сектор на готовинској основи, корисника буџетских средстава и организација обавезног социјалног осигурања, као и корисника средстава Републичког фонда за здравствено осигурање, а све у складу са Програмом стручног оспособљавања за вођење пословних књига, састављање и презентацију финансијских извештаја у складу са Међународним рачуноводственим стандардима за јавни сектор на готовинској основи (у даљем тексту: Програм), који је одштампан уз овај правилник и чини његов саставни део.  </w:t>
      </w:r>
    </w:p>
    <w:p w14:paraId="7111B3B6">
      <w:pPr>
        <w:spacing w:line="210" w:lineRule="atLeast"/>
      </w:pPr>
    </w:p>
    <w:p w14:paraId="7B0FAA21">
      <w:pPr>
        <w:spacing w:line="210" w:lineRule="atLeast"/>
        <w:jc w:val="center"/>
      </w:pPr>
      <w:r>
        <w:rPr>
          <w:rFonts w:eastAsia="Verdana"/>
        </w:rPr>
        <w:t>Члан 2.</w:t>
      </w:r>
    </w:p>
    <w:p w14:paraId="24D01E2A">
      <w:pPr>
        <w:spacing w:line="210" w:lineRule="atLeast"/>
      </w:pPr>
      <w:r>
        <w:rPr>
          <w:rFonts w:eastAsia="Verdana"/>
        </w:rPr>
        <w:t>Корисници Програма су запослени код корисника буџетских средстава и организација обавезног социјалног осигурања, као и корисника средстава Републичког фонда за здравствено осигурање који имају:</w:t>
      </w:r>
    </w:p>
    <w:p w14:paraId="2B1D40A8">
      <w:pPr>
        <w:spacing w:line="210" w:lineRule="atLeast"/>
      </w:pPr>
      <w:r>
        <w:rPr>
          <w:rFonts w:eastAsia="Verdana"/>
        </w:rPr>
        <w:t xml:space="preserve">1) средњу, вишу и високу стручну спрему и </w:t>
      </w:r>
    </w:p>
    <w:p w14:paraId="6530307A">
      <w:pPr>
        <w:spacing w:line="210" w:lineRule="atLeast"/>
        <w:rPr>
          <w:rFonts w:eastAsia="Verdana"/>
        </w:rPr>
      </w:pPr>
      <w:r>
        <w:rPr>
          <w:rFonts w:eastAsia="Verdana"/>
        </w:rPr>
        <w:t xml:space="preserve">2) одговарајуће радно искуство од најмање три године на пословима рачуноводства. </w:t>
      </w:r>
    </w:p>
    <w:p w14:paraId="7ABEBB79">
      <w:pPr>
        <w:spacing w:line="210" w:lineRule="atLeast"/>
      </w:pPr>
    </w:p>
    <w:p w14:paraId="351D8C22">
      <w:pPr>
        <w:spacing w:line="210" w:lineRule="atLeast"/>
        <w:jc w:val="center"/>
      </w:pPr>
      <w:r>
        <w:rPr>
          <w:rFonts w:eastAsia="Verdana"/>
        </w:rPr>
        <w:t>Члан 3.</w:t>
      </w:r>
    </w:p>
    <w:p w14:paraId="5CD99794">
      <w:pPr>
        <w:spacing w:line="210" w:lineRule="atLeast"/>
      </w:pPr>
      <w:r>
        <w:rPr>
          <w:rFonts w:eastAsia="Verdana"/>
        </w:rPr>
        <w:t>Лице из члана 2. овог правилника обавештава корисника јавних средстава код којег је запослено о обукама које је потребно да похађа у циљу оспособљавања.</w:t>
      </w:r>
    </w:p>
    <w:p w14:paraId="10AA4D77">
      <w:pPr>
        <w:spacing w:line="210" w:lineRule="atLeast"/>
        <w:rPr>
          <w:rFonts w:eastAsia="Verdana"/>
        </w:rPr>
      </w:pPr>
      <w:r>
        <w:rPr>
          <w:rFonts w:eastAsia="Verdana"/>
        </w:rPr>
        <w:t>Корисник јавних средстава организатора обуке обавештава о запосленима који ће похађати обуку.</w:t>
      </w:r>
    </w:p>
    <w:p w14:paraId="257D8492">
      <w:pPr>
        <w:spacing w:line="210" w:lineRule="atLeast"/>
        <w:rPr>
          <w:rFonts w:eastAsia="Verdana"/>
        </w:rPr>
      </w:pPr>
    </w:p>
    <w:p w14:paraId="3CB5BF03">
      <w:pPr>
        <w:spacing w:line="210" w:lineRule="atLeast"/>
        <w:rPr>
          <w:rFonts w:eastAsia="Verdana"/>
        </w:rPr>
      </w:pPr>
    </w:p>
    <w:p w14:paraId="46EBBB81">
      <w:pPr>
        <w:spacing w:line="210" w:lineRule="atLeast"/>
      </w:pPr>
    </w:p>
    <w:p w14:paraId="60EF49ED">
      <w:pPr>
        <w:spacing w:line="210" w:lineRule="atLeast"/>
        <w:jc w:val="center"/>
      </w:pPr>
      <w:r>
        <w:rPr>
          <w:rFonts w:eastAsia="Verdana"/>
        </w:rPr>
        <w:t>Члан 4.</w:t>
      </w:r>
    </w:p>
    <w:p w14:paraId="58047EEC">
      <w:pPr>
        <w:spacing w:line="210" w:lineRule="atLeast"/>
        <w:rPr>
          <w:rFonts w:eastAsia="Verdana"/>
        </w:rPr>
      </w:pPr>
      <w:r>
        <w:rPr>
          <w:rFonts w:eastAsia="Verdana"/>
        </w:rPr>
        <w:t>Овај правилник ступа на снагу осмог дана од дана објављивања у „Службеном гласнику Републике Србије”.</w:t>
      </w:r>
    </w:p>
    <w:p w14:paraId="3A998F7E">
      <w:pPr>
        <w:spacing w:line="210" w:lineRule="atLeast"/>
        <w:rPr>
          <w:rFonts w:eastAsia="Verdana"/>
        </w:rPr>
      </w:pPr>
    </w:p>
    <w:p w14:paraId="098C1DCF">
      <w:pPr>
        <w:spacing w:line="210" w:lineRule="atLeast"/>
        <w:rPr>
          <w:rFonts w:eastAsia="Verdana"/>
        </w:rPr>
      </w:pPr>
    </w:p>
    <w:p w14:paraId="0C00FE34">
      <w:pPr>
        <w:spacing w:line="210" w:lineRule="atLeast"/>
        <w:rPr>
          <w:rFonts w:eastAsia="Verdana"/>
        </w:rPr>
      </w:pPr>
    </w:p>
    <w:p w14:paraId="661E7DAF">
      <w:pPr>
        <w:spacing w:line="210" w:lineRule="atLeast"/>
        <w:rPr>
          <w:rFonts w:eastAsia="Verdana"/>
        </w:rPr>
      </w:pPr>
    </w:p>
    <w:p w14:paraId="1AB8BAD4">
      <w:pPr>
        <w:spacing w:line="210" w:lineRule="atLeast"/>
        <w:rPr>
          <w:rFonts w:eastAsia="Verdana"/>
        </w:rPr>
      </w:pPr>
    </w:p>
    <w:p w14:paraId="1800AA43">
      <w:pPr>
        <w:spacing w:line="210" w:lineRule="atLeast"/>
        <w:rPr>
          <w:rFonts w:eastAsia="Verdana"/>
        </w:rPr>
      </w:pPr>
    </w:p>
    <w:p w14:paraId="61F8FCCD">
      <w:pPr>
        <w:spacing w:line="210" w:lineRule="atLeast"/>
        <w:rPr>
          <w:rFonts w:eastAsia="Verdana"/>
        </w:rPr>
      </w:pPr>
    </w:p>
    <w:p w14:paraId="7E429EA8">
      <w:pPr>
        <w:spacing w:line="210" w:lineRule="atLeast"/>
        <w:jc w:val="right"/>
      </w:pPr>
    </w:p>
    <w:p w14:paraId="4B1003F3">
      <w:pPr>
        <w:spacing w:line="210" w:lineRule="atLeast"/>
        <w:jc w:val="center"/>
        <w:rPr>
          <w:rFonts w:eastAsia="Verdana"/>
        </w:rPr>
      </w:pPr>
      <w:r>
        <w:rPr>
          <w:rFonts w:eastAsia="Verdana"/>
        </w:rPr>
        <w:t>ПРОГРАМ</w:t>
      </w:r>
      <w:r>
        <w:rPr>
          <w:rFonts w:eastAsia="Verdana"/>
        </w:rPr>
        <w:br w:type="textWrapping"/>
      </w:r>
      <w:r>
        <w:rPr>
          <w:rFonts w:eastAsia="Verdana"/>
        </w:rPr>
        <w:t>СТРУЧНОГ ОСПОСОБЉАВАЊА ЗА ВОЂЕЊЕ ПОСЛОВНИХ КЊИГА, САСТАВЉАЊЕ И ПРЕЗЕНТАЦИЈУ ФИНАНСИЈСКИХ ИЗВЕШТАЈА У СКЛАДУ СА МЕЂУНАРОДНИМ РАЧУНОВОДСТВЕНИМ СТАНДАРДИМА ЗА ЈАВНИ СЕКТОР НА ГОТОВИНСКОЈ ОСНОВИ</w:t>
      </w:r>
    </w:p>
    <w:p w14:paraId="749ADF3E">
      <w:pPr>
        <w:spacing w:line="210" w:lineRule="atLeast"/>
        <w:jc w:val="center"/>
      </w:pPr>
    </w:p>
    <w:p w14:paraId="1F5F097B">
      <w:pPr>
        <w:spacing w:line="210" w:lineRule="atLeast"/>
        <w:jc w:val="center"/>
      </w:pPr>
      <w:r>
        <w:rPr>
          <w:rFonts w:eastAsia="Verdana"/>
        </w:rPr>
        <w:t>Члан 1.</w:t>
      </w:r>
    </w:p>
    <w:p w14:paraId="46ECAD82">
      <w:pPr>
        <w:spacing w:line="210" w:lineRule="atLeast"/>
        <w:rPr>
          <w:rFonts w:eastAsia="Verdana"/>
        </w:rPr>
      </w:pPr>
      <w:r>
        <w:rPr>
          <w:rFonts w:eastAsia="Verdana"/>
        </w:rPr>
        <w:t>Циљ овог програма је стручно оспособљавање запослених код корисника буџетских средстава и организација обавезног социјалног осигурања, као и корисника средстава Републичког фонда за здравствено осигурање, за вођење пословних књига, припрему, подношење и објављивање финансијских извештаја у складу са Међународним рачуноводственим стандардима за јавни сектор на готовинској основи.</w:t>
      </w:r>
    </w:p>
    <w:p w14:paraId="49A4064B">
      <w:pPr>
        <w:spacing w:line="210" w:lineRule="atLeast"/>
      </w:pPr>
    </w:p>
    <w:p w14:paraId="6A84CED4">
      <w:pPr>
        <w:spacing w:line="210" w:lineRule="atLeast"/>
        <w:jc w:val="center"/>
      </w:pPr>
      <w:r>
        <w:rPr>
          <w:rFonts w:eastAsia="Verdana"/>
        </w:rPr>
        <w:t>Члан 2.</w:t>
      </w:r>
    </w:p>
    <w:p w14:paraId="7C4A1FAE">
      <w:pPr>
        <w:spacing w:line="210" w:lineRule="atLeast"/>
      </w:pPr>
      <w:r>
        <w:rPr>
          <w:rFonts w:eastAsia="Verdana"/>
        </w:rPr>
        <w:t>Програм се реализује похађањем обука, стручних курсевa, семинара и предавања (у даљем тексту: Обуке).</w:t>
      </w:r>
    </w:p>
    <w:p w14:paraId="3F93F62B">
      <w:pPr>
        <w:spacing w:line="210" w:lineRule="atLeast"/>
        <w:rPr>
          <w:rFonts w:eastAsia="Verdana"/>
        </w:rPr>
      </w:pPr>
      <w:r>
        <w:rPr>
          <w:rFonts w:eastAsia="Verdana"/>
        </w:rPr>
        <w:t>Обуке се спроводе континуирано током целе године по областима утврђеним правилником којим је прописан овај програм.</w:t>
      </w:r>
    </w:p>
    <w:p w14:paraId="17CD750A">
      <w:pPr>
        <w:spacing w:line="210" w:lineRule="atLeast"/>
      </w:pPr>
    </w:p>
    <w:p w14:paraId="509D6832">
      <w:pPr>
        <w:spacing w:line="210" w:lineRule="atLeast"/>
        <w:jc w:val="center"/>
      </w:pPr>
      <w:r>
        <w:rPr>
          <w:rFonts w:eastAsia="Verdana"/>
        </w:rPr>
        <w:t>Члан 3.</w:t>
      </w:r>
    </w:p>
    <w:p w14:paraId="33770489">
      <w:pPr>
        <w:spacing w:line="210" w:lineRule="atLeast"/>
      </w:pPr>
      <w:r>
        <w:rPr>
          <w:rFonts w:eastAsia="Verdana"/>
        </w:rPr>
        <w:t>Обуке обухватajу следеће области:</w:t>
      </w:r>
    </w:p>
    <w:p w14:paraId="5415C821">
      <w:pPr>
        <w:spacing w:line="210" w:lineRule="atLeast"/>
      </w:pPr>
      <w:r>
        <w:rPr>
          <w:rFonts w:eastAsia="Verdana"/>
        </w:rPr>
        <w:t>1) Међународни рачуноводствени стандарди за јавни сектор;</w:t>
      </w:r>
    </w:p>
    <w:p w14:paraId="6F89D44A">
      <w:pPr>
        <w:spacing w:line="210" w:lineRule="atLeast"/>
      </w:pPr>
      <w:r>
        <w:rPr>
          <w:rFonts w:eastAsia="Verdana"/>
        </w:rPr>
        <w:t>2) Јавне финансије;</w:t>
      </w:r>
    </w:p>
    <w:p w14:paraId="3B346188">
      <w:pPr>
        <w:spacing w:line="210" w:lineRule="atLeast"/>
      </w:pPr>
      <w:r>
        <w:rPr>
          <w:rFonts w:eastAsia="Verdana"/>
        </w:rPr>
        <w:t>3) Буџетско рачуноводство.</w:t>
      </w:r>
    </w:p>
    <w:p w14:paraId="600628CE">
      <w:pPr>
        <w:spacing w:line="210" w:lineRule="atLeast"/>
        <w:jc w:val="center"/>
      </w:pPr>
      <w:r>
        <w:rPr>
          <w:rFonts w:eastAsia="Verdana"/>
        </w:rPr>
        <w:t>Члан 4.</w:t>
      </w:r>
    </w:p>
    <w:p w14:paraId="1B123F49">
      <w:pPr>
        <w:spacing w:line="210" w:lineRule="atLeast"/>
      </w:pPr>
      <w:r>
        <w:rPr>
          <w:rFonts w:eastAsia="Verdana"/>
        </w:rPr>
        <w:t>Oбуке организују државни органи и организације који су за то стручно, кадровски и технички оспособљени (у даљем тексту: Организатор).</w:t>
      </w:r>
    </w:p>
    <w:p w14:paraId="419A328F">
      <w:pPr>
        <w:spacing w:line="210" w:lineRule="atLeast"/>
      </w:pPr>
      <w:r>
        <w:rPr>
          <w:rFonts w:eastAsia="Verdana"/>
        </w:rPr>
        <w:t>Предавачи на Обукама могу бити држављани Републике Србије и страни држављани.</w:t>
      </w:r>
    </w:p>
    <w:p w14:paraId="40E25AE0">
      <w:pPr>
        <w:spacing w:line="210" w:lineRule="atLeast"/>
      </w:pPr>
      <w:r>
        <w:rPr>
          <w:rFonts w:eastAsia="Verdana"/>
        </w:rPr>
        <w:t>Обуке се могу похађати и путем online вебинара.</w:t>
      </w:r>
    </w:p>
    <w:p w14:paraId="2A111176">
      <w:pPr>
        <w:spacing w:line="210" w:lineRule="atLeast"/>
        <w:rPr>
          <w:rFonts w:eastAsia="Verdana"/>
        </w:rPr>
      </w:pPr>
      <w:r>
        <w:rPr>
          <w:rFonts w:eastAsia="Verdana"/>
        </w:rPr>
        <w:t>Обуке се могу похађати радним данима, у току и ван радног времена, као и викендом.</w:t>
      </w:r>
    </w:p>
    <w:p w14:paraId="0E34215A">
      <w:pPr>
        <w:spacing w:line="210" w:lineRule="atLeast"/>
      </w:pPr>
    </w:p>
    <w:p w14:paraId="44BE39B9">
      <w:pPr>
        <w:spacing w:line="210" w:lineRule="atLeast"/>
        <w:jc w:val="center"/>
      </w:pPr>
      <w:r>
        <w:rPr>
          <w:rFonts w:eastAsia="Verdana"/>
        </w:rPr>
        <w:t>Члан 5.</w:t>
      </w:r>
    </w:p>
    <w:p w14:paraId="67C3F15D">
      <w:pPr>
        <w:spacing w:line="210" w:lineRule="atLeast"/>
        <w:rPr>
          <w:rFonts w:eastAsia="Verdana"/>
        </w:rPr>
      </w:pPr>
      <w:r>
        <w:rPr>
          <w:rFonts w:eastAsia="Verdana"/>
        </w:rPr>
        <w:t xml:space="preserve">Након завршетка Oбуке, Организатор је у обавези да полазнику изда потврду о похађању Обуке. </w:t>
      </w:r>
    </w:p>
    <w:p w14:paraId="55E39D3D">
      <w:pPr>
        <w:spacing w:line="210" w:lineRule="atLeast"/>
        <w:rPr>
          <w:rFonts w:eastAsia="Verdana"/>
        </w:rPr>
      </w:pPr>
      <w:bookmarkStart w:id="0" w:name="_GoBack"/>
      <w:bookmarkEnd w:id="0"/>
    </w:p>
    <w:p w14:paraId="00EEA2C5">
      <w:pPr>
        <w:spacing w:line="210" w:lineRule="atLeast"/>
        <w:jc w:val="center"/>
      </w:pPr>
      <w:r>
        <w:rPr>
          <w:rFonts w:eastAsia="Verdana"/>
        </w:rPr>
        <w:t>Члан 6.</w:t>
      </w:r>
    </w:p>
    <w:p w14:paraId="3966CC49">
      <w:pPr>
        <w:rPr>
          <w:rFonts w:eastAsia="SimSun"/>
          <w:b/>
          <w:bCs/>
          <w:color w:val="000000"/>
          <w:lang w:bidi="ar"/>
        </w:rPr>
      </w:pPr>
      <w:r>
        <w:rPr>
          <w:rFonts w:eastAsia="Verdana"/>
        </w:rPr>
        <w:t>За спровођење овог програма обезбеђују се средства у буџету Републике Србије.</w:t>
      </w:r>
    </w:p>
    <w:p w14:paraId="0ED79E21">
      <w:pPr>
        <w:jc w:val="both"/>
        <w:rPr>
          <w:rFonts w:eastAsia="SimSun"/>
          <w:color w:val="000000"/>
          <w:lang w:val="sr-Cyrl-RS" w:bidi="ar"/>
        </w:rPr>
      </w:pPr>
    </w:p>
    <w:p w14:paraId="14CBE546"/>
    <w:p w14:paraId="744BDAE9">
      <w:pPr>
        <w:rPr>
          <w:lang w:val="sr-Cyrl-BA"/>
        </w:rPr>
      </w:pPr>
    </w:p>
    <w:p w14:paraId="5E7E2A88">
      <w:p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sr-Cyrl-RS"/>
        </w:rPr>
      </w:pPr>
    </w:p>
    <w:p w14:paraId="52A8C7DF">
      <w:p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sr-Cyrl-RS"/>
        </w:rPr>
      </w:pPr>
    </w:p>
    <w:p w14:paraId="0DDDCC9A">
      <w:p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sr-Cyrl-RS"/>
        </w:rPr>
      </w:pPr>
      <w:r>
        <w:rPr>
          <w:rFonts w:hint="default"/>
          <w:b w:val="0"/>
          <w:bCs w:val="0"/>
          <w:sz w:val="24"/>
          <w:szCs w:val="24"/>
          <w:lang w:val="sr-Cyrl-RS"/>
        </w:rPr>
        <w:t>У Багрдану,</w:t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>председник Школског одбора</w:t>
      </w:r>
    </w:p>
    <w:p w14:paraId="1ADFACEA">
      <w:p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sr-Cyrl-RS"/>
        </w:rPr>
      </w:pPr>
    </w:p>
    <w:p w14:paraId="26A6ABB3">
      <w:p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sr-Cyrl-RS"/>
        </w:rPr>
      </w:pPr>
      <w:r>
        <w:rPr>
          <w:rFonts w:hint="default"/>
          <w:b w:val="0"/>
          <w:bCs w:val="0"/>
          <w:sz w:val="24"/>
          <w:szCs w:val="24"/>
          <w:lang w:val="sr-Cyrl-RS"/>
        </w:rPr>
        <w:t>24.02.2026.год.</w:t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>___________________________________</w:t>
      </w:r>
    </w:p>
    <w:p w14:paraId="26DCBA57">
      <w:p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sr-Cyrl-RS"/>
        </w:rPr>
      </w:pP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  <w:r>
        <w:rPr>
          <w:rFonts w:hint="default"/>
          <w:b w:val="0"/>
          <w:bCs w:val="0"/>
          <w:sz w:val="24"/>
          <w:szCs w:val="24"/>
          <w:lang w:val="sr-Cyrl-RS"/>
        </w:rPr>
        <w:tab/>
      </w:r>
    </w:p>
    <w:sectPr>
      <w:headerReference r:id="rId5" w:type="default"/>
      <w:pgSz w:w="11906" w:h="16838"/>
      <w:pgMar w:top="720" w:right="720" w:bottom="720" w:left="720" w:header="2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28134">
    <w:pPr>
      <w:rPr>
        <w:sz w:val="16"/>
      </w:rPr>
    </w:pPr>
  </w:p>
  <w:p w14:paraId="55828135">
    <w:pPr>
      <w:rPr>
        <w:color w:val="0000FF" w:themeColor="hyperlink"/>
        <w:sz w:val="18"/>
        <w:szCs w:val="18"/>
        <w:u w:val="single"/>
        <w14:textFill>
          <w14:solidFill>
            <w14:schemeClr w14:val="hlink"/>
          </w14:solidFill>
        </w14:textFill>
      </w:rPr>
    </w:pPr>
    <w:r>
      <w:rPr>
        <w:sz w:val="18"/>
        <w:lang w:val="en-US"/>
      </w:rPr>
      <w:drawing>
        <wp:inline distT="0" distB="0" distL="0" distR="0">
          <wp:extent cx="656590" cy="4451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57141" cy="445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otype Corsiva" w:hAnsi="Monotype Corsiva"/>
        <w:sz w:val="18"/>
        <w:szCs w:val="18"/>
      </w:rPr>
      <w:t>ОШ „Јоца Милосављевић“</w:t>
    </w:r>
    <w:r>
      <w:rPr>
        <w:sz w:val="18"/>
        <w:szCs w:val="18"/>
      </w:rPr>
      <w:t xml:space="preserve">     тел: 035 8275108</w:t>
    </w:r>
    <w:r>
      <w:rPr>
        <w:sz w:val="18"/>
        <w:szCs w:val="18"/>
        <w:lang w:val="en-US"/>
      </w:rPr>
      <w:t xml:space="preserve">,e-mail: </w:t>
    </w:r>
    <w:r>
      <w:fldChar w:fldCharType="begin"/>
    </w:r>
    <w:r>
      <w:instrText xml:space="preserve"> HYPERLINK "mailto:jocanastavnici@gmail.com" </w:instrText>
    </w:r>
    <w:r>
      <w:fldChar w:fldCharType="separate"/>
    </w:r>
    <w:r>
      <w:rPr>
        <w:rStyle w:val="7"/>
        <w:sz w:val="18"/>
        <w:szCs w:val="18"/>
        <w:lang w:val="en-US"/>
      </w:rPr>
      <w:t>jocanastavnici@gmail.com</w:t>
    </w:r>
    <w:r>
      <w:rPr>
        <w:rStyle w:val="7"/>
        <w:sz w:val="18"/>
        <w:szCs w:val="18"/>
        <w:lang w:val="en-US"/>
      </w:rPr>
      <w:fldChar w:fldCharType="end"/>
    </w:r>
  </w:p>
  <w:p w14:paraId="55828136">
    <w:pPr>
      <w:ind w:left="708"/>
      <w:rPr>
        <w:sz w:val="18"/>
        <w:szCs w:val="18"/>
        <w:lang w:val="en-US"/>
      </w:rPr>
    </w:pPr>
    <w:r>
      <w:rPr>
        <w:sz w:val="18"/>
        <w:szCs w:val="18"/>
      </w:rPr>
      <w:t>35 204 Багрдан  МБ: 07125356, ПИБ:102136466</w:t>
    </w:r>
  </w:p>
  <w:p w14:paraId="3BDB883D">
    <w:pPr>
      <w:ind w:left="708"/>
      <w:rPr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0A"/>
    <w:rsid w:val="0000104B"/>
    <w:rsid w:val="00026CDC"/>
    <w:rsid w:val="0004229F"/>
    <w:rsid w:val="00082C2D"/>
    <w:rsid w:val="000850B8"/>
    <w:rsid w:val="000B16E4"/>
    <w:rsid w:val="000F46A0"/>
    <w:rsid w:val="00111FE3"/>
    <w:rsid w:val="001500B9"/>
    <w:rsid w:val="00154D31"/>
    <w:rsid w:val="001F67E2"/>
    <w:rsid w:val="00210EFD"/>
    <w:rsid w:val="0022127B"/>
    <w:rsid w:val="00255183"/>
    <w:rsid w:val="00266291"/>
    <w:rsid w:val="002673DB"/>
    <w:rsid w:val="002B3F2E"/>
    <w:rsid w:val="002E1EBE"/>
    <w:rsid w:val="00317C45"/>
    <w:rsid w:val="003220DE"/>
    <w:rsid w:val="003326F9"/>
    <w:rsid w:val="00346158"/>
    <w:rsid w:val="0034700C"/>
    <w:rsid w:val="00365149"/>
    <w:rsid w:val="00381354"/>
    <w:rsid w:val="003951EB"/>
    <w:rsid w:val="003A4E90"/>
    <w:rsid w:val="0043686D"/>
    <w:rsid w:val="004841F0"/>
    <w:rsid w:val="00496A23"/>
    <w:rsid w:val="004A49A9"/>
    <w:rsid w:val="004A5407"/>
    <w:rsid w:val="004B68F0"/>
    <w:rsid w:val="004D18F0"/>
    <w:rsid w:val="004D56F4"/>
    <w:rsid w:val="004F21B5"/>
    <w:rsid w:val="00520C39"/>
    <w:rsid w:val="00572273"/>
    <w:rsid w:val="005845EA"/>
    <w:rsid w:val="0059162F"/>
    <w:rsid w:val="005C0C91"/>
    <w:rsid w:val="005C5D32"/>
    <w:rsid w:val="0060596E"/>
    <w:rsid w:val="006209E4"/>
    <w:rsid w:val="00625DCB"/>
    <w:rsid w:val="0064006A"/>
    <w:rsid w:val="00643814"/>
    <w:rsid w:val="006669FC"/>
    <w:rsid w:val="0067707D"/>
    <w:rsid w:val="006D6643"/>
    <w:rsid w:val="006E4B9C"/>
    <w:rsid w:val="006F08FA"/>
    <w:rsid w:val="00721C43"/>
    <w:rsid w:val="007560DA"/>
    <w:rsid w:val="00767EC5"/>
    <w:rsid w:val="00771F5C"/>
    <w:rsid w:val="00772349"/>
    <w:rsid w:val="007959B0"/>
    <w:rsid w:val="007969DA"/>
    <w:rsid w:val="007E3DE6"/>
    <w:rsid w:val="007F1686"/>
    <w:rsid w:val="00823987"/>
    <w:rsid w:val="008514D6"/>
    <w:rsid w:val="00852438"/>
    <w:rsid w:val="008551C3"/>
    <w:rsid w:val="008808E1"/>
    <w:rsid w:val="00895A69"/>
    <w:rsid w:val="008B04E3"/>
    <w:rsid w:val="00907758"/>
    <w:rsid w:val="0093209D"/>
    <w:rsid w:val="00945B81"/>
    <w:rsid w:val="00996D40"/>
    <w:rsid w:val="009C0522"/>
    <w:rsid w:val="009D2897"/>
    <w:rsid w:val="009F64AA"/>
    <w:rsid w:val="00A02E9F"/>
    <w:rsid w:val="00A21C97"/>
    <w:rsid w:val="00A47084"/>
    <w:rsid w:val="00A56329"/>
    <w:rsid w:val="00A638CE"/>
    <w:rsid w:val="00A67A73"/>
    <w:rsid w:val="00A74330"/>
    <w:rsid w:val="00AC327F"/>
    <w:rsid w:val="00AF2707"/>
    <w:rsid w:val="00B05330"/>
    <w:rsid w:val="00B1435F"/>
    <w:rsid w:val="00B44087"/>
    <w:rsid w:val="00B6089D"/>
    <w:rsid w:val="00B620C1"/>
    <w:rsid w:val="00B92E9C"/>
    <w:rsid w:val="00BE15D5"/>
    <w:rsid w:val="00C30FDD"/>
    <w:rsid w:val="00C33119"/>
    <w:rsid w:val="00C331A8"/>
    <w:rsid w:val="00C335FD"/>
    <w:rsid w:val="00C33E13"/>
    <w:rsid w:val="00C348D6"/>
    <w:rsid w:val="00C579D1"/>
    <w:rsid w:val="00C61A0E"/>
    <w:rsid w:val="00C929B0"/>
    <w:rsid w:val="00C94DEC"/>
    <w:rsid w:val="00D102A6"/>
    <w:rsid w:val="00D33132"/>
    <w:rsid w:val="00D63BA8"/>
    <w:rsid w:val="00D8038E"/>
    <w:rsid w:val="00D83155"/>
    <w:rsid w:val="00DA7103"/>
    <w:rsid w:val="00DB23AB"/>
    <w:rsid w:val="00DD6DA8"/>
    <w:rsid w:val="00DF7AA2"/>
    <w:rsid w:val="00E05E10"/>
    <w:rsid w:val="00E13581"/>
    <w:rsid w:val="00E157E4"/>
    <w:rsid w:val="00E16CF0"/>
    <w:rsid w:val="00E451A4"/>
    <w:rsid w:val="00EB7824"/>
    <w:rsid w:val="00EC380A"/>
    <w:rsid w:val="00ED597A"/>
    <w:rsid w:val="00EF1B76"/>
    <w:rsid w:val="00F50978"/>
    <w:rsid w:val="00F82D2B"/>
    <w:rsid w:val="00FC3D0B"/>
    <w:rsid w:val="00FD1ED0"/>
    <w:rsid w:val="00FD3F65"/>
    <w:rsid w:val="326D7D8E"/>
    <w:rsid w:val="38AC4623"/>
    <w:rsid w:val="7DE84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sr-Cyrl-C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 w:eastAsiaTheme="minorHAnsi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basedOn w:val="2"/>
    <w:link w:val="6"/>
    <w:qFormat/>
    <w:uiPriority w:val="99"/>
  </w:style>
  <w:style w:type="character" w:customStyle="1" w:styleId="11">
    <w:name w:val="Footer Char"/>
    <w:basedOn w:val="2"/>
    <w:link w:val="5"/>
    <w:qFormat/>
    <w:uiPriority w:val="99"/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1503-EEFD-47ED-9E5A-ABA566E5C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2026-02-02T08:28:00Z</dcterms:created>
  <dc:creator>Korisnik</dc:creator>
  <cp:lastModifiedBy>Marina</cp:lastModifiedBy>
  <cp:lastPrinted>2025-12-02T08:49:00Z</cp:lastPrinted>
  <dcterms:modified xsi:type="dcterms:W3CDTF">2026-03-24T09:30:55Z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1EAB7A3D11F54B04A95F62B0D71FD366_13</vt:lpwstr>
  </property>
</Properties>
</file>